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Доклад на тему: «Экологическое воспитание на уроках труда(технологии) и черчения: новые подходы и методики»</w:t>
      </w:r>
    </w:p>
    <w:p w14:paraId="02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Подготовила Извекова Н.В. учитель труда(технологии) ГБОУ СОШ с.Герасимовка</w:t>
      </w:r>
    </w:p>
    <w:p w14:paraId="03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Стремительное развитие технологий, не всегда ответственное отношение к природным ресурсам и их нерациональное использование привели к нарушению хрупкого равновесия в природе. Перед человечеством остро встает вопрос о пересмотре потребительского подхода к планете, признании ограниченности ее ресурсов и необходимости жить в гармонии с природными законами.</w:t>
      </w:r>
    </w:p>
    <w:p w14:paraId="04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Внедрение новых подходов и методик в уроки труда(технологии) требует от учителей постоянного самообразования, поиска новых идей и готовности к экспериментам. Важно помнить, что экологическое воспитание – это не отдельный предмет, а сквозная линия, которая должна проходить через все учебные дисциплины, формируя у подрастающего поколения ответственное и бережное отношение к природе, которое станет основой для устойчивого развития общества.</w:t>
      </w:r>
    </w:p>
    <w:p w14:paraId="05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Содержание экологической составляющей уроков труда( технологии) призвано воспитывать у школьников заботливое отношение к природе, природным ресурсам, собственному здоровью и здоровью окружающих. Важно не только понимать экологические проблемы, возникающие в процессе удовлетворения человеческих потребностей, но и активно искать пути их решения.</w:t>
      </w:r>
    </w:p>
    <w:p w14:paraId="06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Учителя труда(технологии) вносят неоценимый вклад в экологическое просвещение, знакомя учеников с многообразием преобразовательной деятельности человека. Экологическая проблематика должна пронизывать каждую тему, формируя у школьников понимание природы как источника жизни и осознание ответственности за ее сохранение и рациональное использование ограниченных ресурсов. На своих уроках я стремлюсь интегрировать экологические аспекты, воспитывая у учащихся культуру природопользования.</w:t>
      </w:r>
    </w:p>
    <w:p w14:paraId="07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эффективной организации экологического просвещения на уроках труда(технологии )необходимо ставить следующие задачи:</w:t>
      </w:r>
    </w:p>
    <w:p w14:paraId="08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Развитие технологической культуры: Понимание взаимосвязи технологий и окружающей среды.</w:t>
      </w:r>
    </w:p>
    <w:p w14:paraId="09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Интеграция экологических вопросов: Включение экологических аспектов в изложение технологических сведений.</w:t>
      </w:r>
    </w:p>
    <w:p w14:paraId="0A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Практическое применение: Использование вторичных материалов и отходов производства на занятиях.</w:t>
      </w:r>
    </w:p>
    <w:p w14:paraId="0B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Акцент на ресурсосбережение: Демонстрация и применение ресурсосберегающих технологий.</w:t>
      </w:r>
    </w:p>
    <w:p w14:paraId="0C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Учащиеся должны понимать фундаментальные понятия социальной экологии, такие как взаимосвязь человека и природы, роль труда в преобразовании окружающей среды и...</w:t>
      </w:r>
    </w:p>
    <w:p w14:paraId="0D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рамках обновленной программы я предлагаю следующие конкретные подходы и методики для усиления экологического воспитания:</w:t>
      </w:r>
    </w:p>
    <w:p w14:paraId="0E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 класс:</w:t>
      </w:r>
    </w:p>
    <w:p w14:paraId="0F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Раздел: "Технологии ручной обработки древесины"</w:t>
      </w:r>
    </w:p>
    <w:p w14:paraId="10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Новый подход: Акцент не только на свойствах древесины как конструкционного материала, но и на ее происхождении, возобновляемости и важности лесов для экосистемы.</w:t>
      </w:r>
    </w:p>
    <w:p w14:paraId="11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Методика:</w:t>
      </w:r>
    </w:p>
    <w:p w14:paraId="12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Проектная деятельность: Создание мини-проектов "Вторая жизнь дерева" (например, изготовление поделок из веток, обрезков, старых досок).</w:t>
      </w:r>
    </w:p>
    <w:p w14:paraId="13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Дискуссия: "Почему важно беречь лес? Роль человека в сохранении лесных ресурсов".</w:t>
      </w:r>
    </w:p>
    <w:p w14:paraId="14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Практическая работа: Изготовление кормушек для птиц из отходов древесины, обсуждение их роли в поддержании биоразнообразия.</w:t>
      </w:r>
    </w:p>
    <w:p w14:paraId="15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Тема: "Технологии обработки конструкционных материалов. Ручная обработка древесины"</w:t>
      </w:r>
    </w:p>
    <w:p w14:paraId="16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Методика:</w:t>
      </w:r>
    </w:p>
    <w:p w14:paraId="17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Упражнения на экономию: Задания по раскрою заготовок с минимальными отходами.</w:t>
      </w:r>
    </w:p>
    <w:p w14:paraId="18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Сбор и сортировка отходов: Организация на рабочем месте системы сбора опилок и стружки для дальнейшего использования (например, для мульчирования растений в школьном саду или для изготовления композитных материалов).</w:t>
      </w:r>
    </w:p>
    <w:p w14:paraId="19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Мастер-класс: Изготовление простых изделий из мелких обрезков (брелоки, магниты, элементы декора).</w:t>
      </w:r>
    </w:p>
    <w:p w14:paraId="1A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Тема: "Технологии обработки текстильных материалов. Швейные изделия"</w:t>
      </w:r>
    </w:p>
    <w:p w14:paraId="1B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Новый подход: Воспитание бережного отношения к одежде, продление срока ее службы, знакомство с принципами "медленной моды" и переработки текстиля.</w:t>
      </w:r>
    </w:p>
    <w:p w14:paraId="1C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Методика:</w:t>
      </w:r>
    </w:p>
    <w:p w14:paraId="1D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 "Ремонт и редизайн": Учащиеся приносят старые или поврежденные вещи и под руководством учителя ремонтируют их, перешивают, декорируют, давая им новую жизнь.</w:t>
      </w:r>
    </w:p>
    <w:p w14:paraId="1E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Практическая работа: Изготовление полезных предметов из обрезков ткани (мешочки для хранения, салфетки, игрушки).</w:t>
      </w:r>
    </w:p>
    <w:p w14:paraId="1F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Экскурсия (виртуальная или реальная): Посещение ателье по ремонту одежды или пункта приема вторсырья для текстиля.</w:t>
      </w:r>
    </w:p>
    <w:p w14:paraId="20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 класс:</w:t>
      </w:r>
    </w:p>
    <w:p w14:paraId="21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Тема: "</w:t>
      </w:r>
      <w:r>
        <w:rPr>
          <w:rFonts w:ascii="Times New Roman" w:hAnsi="Times New Roman"/>
          <w:b w:val="0"/>
          <w:i w:val="0"/>
          <w:color w:val="000000"/>
          <w:sz w:val="28"/>
        </w:rPr>
        <w:t>Технологии обработки конструкционных материалов. Металлы и сплавы</w:t>
      </w:r>
      <w:r>
        <w:rPr>
          <w:rFonts w:ascii="Times New Roman" w:hAnsi="Times New Roman"/>
          <w:sz w:val="28"/>
        </w:rPr>
        <w:t>"</w:t>
      </w:r>
    </w:p>
    <w:p w14:paraId="22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Новый подход: Акцент на вторичной переработке металлов, их ценности как ресурса.</w:t>
      </w:r>
    </w:p>
    <w:p w14:paraId="23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Методика:</w:t>
      </w:r>
    </w:p>
    <w:p w14:paraId="24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 "Металл в дело": Изготовление изделий из использованных алюминиевых банок, жестяных коробок (например, подставки для карандашей, декоративные элементы).</w:t>
      </w:r>
    </w:p>
    <w:p w14:paraId="25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Дискуссия: "Почему важно собирать металлолом? Экономическая и экологическая выгода переработки металлов".</w:t>
      </w:r>
    </w:p>
    <w:p w14:paraId="26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Раздел: "</w:t>
      </w:r>
      <w:r>
        <w:rPr>
          <w:rFonts w:ascii="Times New Roman" w:hAnsi="Times New Roman"/>
          <w:b w:val="0"/>
          <w:i w:val="0"/>
          <w:color w:val="000000"/>
          <w:sz w:val="28"/>
        </w:rPr>
        <w:t>Технологии обработки пищевых продуктов.</w:t>
      </w:r>
      <w:r>
        <w:rPr>
          <w:rFonts w:ascii="Times New Roman" w:hAnsi="Times New Roman"/>
          <w:sz w:val="28"/>
        </w:rPr>
        <w:t>"</w:t>
      </w:r>
    </w:p>
    <w:p w14:paraId="27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Новый подход: Воспитание культуры рационального питания, минимизации пищевых отходов, знакомство с местными продуктами и сезонностью.</w:t>
      </w:r>
    </w:p>
    <w:p w14:paraId="28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Методика:</w:t>
      </w:r>
    </w:p>
    <w:p w14:paraId="29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 "Безотходная кухня": Учащиеся изучают способы использования пищевых остатков (например, приготовление бульонов из овощных обрезков, компостирование органических отходов).</w:t>
      </w:r>
    </w:p>
    <w:p w14:paraId="2A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Практическая работа: Приготовление блюд из сезонных и местных продуктов, обсуждение их преимуществ.</w:t>
      </w:r>
    </w:p>
    <w:p w14:paraId="2B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Дискуссия: "Почему важно не выбрасывать еду? Проблема голода и пищевых отходов в мире".</w:t>
      </w:r>
    </w:p>
    <w:p w14:paraId="2C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 "Эко-упаковка": Изучение и применение многоразовой упаковки для хранения продуктов.</w:t>
      </w:r>
    </w:p>
    <w:p w14:paraId="2D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Уроки Черчения</w:t>
      </w:r>
    </w:p>
    <w:p w14:paraId="2E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 класс:</w:t>
      </w:r>
    </w:p>
    <w:p w14:paraId="2F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Тема: "Компьютерная графика.Черчение"</w:t>
      </w:r>
    </w:p>
    <w:p w14:paraId="30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Новый подход: Использование масштаба для проектирования экологически эффективных объектов, например, для расчета площади солнечных батарей или ветрогенераторов.</w:t>
      </w:r>
    </w:p>
    <w:p w14:paraId="31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Методика:</w:t>
      </w:r>
    </w:p>
    <w:p w14:paraId="32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Практическая работа: Создание чертежа небольшого участка с учетом расположения деревьев, клумб, зон отдыха, с последующим расчетом площади озеленения.</w:t>
      </w:r>
    </w:p>
    <w:p w14:paraId="33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Проект "Мой экологичный дом": Учащиеся создают эскизы и простые чертежи небольших домов с учетом энергосберегающих технологий (например, ориентация по сторонам света, расположение окон).</w:t>
      </w:r>
    </w:p>
    <w:p w14:paraId="34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Методика:</w:t>
      </w:r>
    </w:p>
    <w:p w14:paraId="35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Творческое задание: Создание плаката или эмблемы на экологическую тему с использованием изученных геометрических фигур и линий.</w:t>
      </w:r>
    </w:p>
    <w:p w14:paraId="36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Практическая работа: Разработка чертежа простой конструкции, которая может быть изготовлена из вторичных материалов (например, подставка для книг из картона, органайзер из пластиковых бутылок).</w:t>
      </w:r>
    </w:p>
    <w:p w14:paraId="37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Принцип "от простого к сложному" должен быть основополагающим при внедрении экологических аспектов. Начинать следует с простых понятий и действий, постепенно переходя к более комплексным задачам. Например, в 5 классе можно начать с сортировки мусора и изготовления простых поделок из вторсырья, а в старших классах – с проектирования и создания более сложных экологических систем или изделий.</w:t>
      </w:r>
    </w:p>
    <w:p w14:paraId="38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Цифровые технологии также открывают новые возможности для экологического воспитания. Интерактивные карты, виртуальные экскурсии, образовательные игры, программы для 3D-моделирования – все это может сделать процесс обучения более увлекательным и наглядным. Например, учащиеся могут создавать 3D-модели экологически чистых зданий или систем, используя специализированное программное обеспечение.</w:t>
      </w:r>
    </w:p>
    <w:p w14:paraId="39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Таким образом, на уроках труда(технологии) мы можем не просто обучать техническим навыкам, но и воспитывать новое поколение граждан, осознающих свою роль в сохранении планеты, способных к творческому решению экологических проблем и готовых строить будущее в гармонии с природой.</w:t>
      </w:r>
      <w:r>
        <w:rPr>
          <w:rFonts w:ascii="Times New Roman" w:hAnsi="Times New Roman"/>
          <w:sz w:val="28"/>
        </w:rPr>
        <w:t xml:space="preserve">               </w:t>
      </w:r>
    </w:p>
    <w:p w14:paraId="3A000000">
      <w:pPr>
        <w:rPr>
          <w:rFonts w:ascii="Times New Roman" w:hAnsi="Times New Roman"/>
          <w:sz w:val="28"/>
        </w:rPr>
      </w:pPr>
    </w:p>
    <w:p w14:paraId="3B000000">
      <w:pPr>
        <w:rPr>
          <w:rFonts w:ascii="Times New Roman" w:hAnsi="Times New Roman"/>
          <w:sz w:val="28"/>
        </w:rPr>
      </w:pPr>
    </w:p>
    <w:p w14:paraId="3C000000">
      <w:pPr>
        <w:rPr>
          <w:rFonts w:ascii="Times New Roman" w:hAnsi="Times New Roman"/>
          <w:sz w:val="28"/>
        </w:rPr>
      </w:pPr>
    </w:p>
    <w:p w14:paraId="3D000000">
      <w:pPr>
        <w:rPr>
          <w:rFonts w:ascii="Times New Roman" w:hAnsi="Times New Roman"/>
          <w:sz w:val="28"/>
        </w:rPr>
      </w:pPr>
    </w:p>
    <w:p w14:paraId="3E000000">
      <w:pPr>
        <w:rPr>
          <w:rFonts w:ascii="Times New Roman" w:hAnsi="Times New Roman"/>
          <w:sz w:val="28"/>
        </w:rPr>
      </w:pPr>
    </w:p>
    <w:p w14:paraId="3F000000">
      <w:pPr>
        <w:rPr>
          <w:rFonts w:ascii="Times New Roman" w:hAnsi="Times New Roman"/>
          <w:sz w:val="28"/>
        </w:rPr>
      </w:pPr>
    </w:p>
    <w:p w14:paraId="40000000">
      <w:pPr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sz w:val="28"/>
        </w:rPr>
        <w:t xml:space="preserve">                  </w:t>
      </w:r>
      <w:r>
        <w:rPr>
          <w:rFonts w:ascii="Times New Roman" w:hAnsi="Times New Roman"/>
          <w:b w:val="1"/>
          <w:sz w:val="28"/>
        </w:rPr>
        <w:t xml:space="preserve">                </w:t>
      </w:r>
    </w:p>
    <w:p w14:paraId="41000000">
      <w:pPr>
        <w:rPr>
          <w:rFonts w:ascii="Times New Roman" w:hAnsi="Times New Roman"/>
          <w:b w:val="1"/>
          <w:sz w:val="28"/>
        </w:rPr>
      </w:pPr>
    </w:p>
    <w:p w14:paraId="42000000">
      <w:pPr>
        <w:rPr>
          <w:rFonts w:ascii="Times New Roman" w:hAnsi="Times New Roman"/>
          <w:b w:val="1"/>
          <w:sz w:val="28"/>
        </w:rPr>
      </w:pPr>
    </w:p>
    <w:p w14:paraId="43000000">
      <w:pPr>
        <w:rPr>
          <w:rFonts w:ascii="Times New Roman" w:hAnsi="Times New Roman"/>
          <w:b w:val="1"/>
          <w:sz w:val="28"/>
        </w:rPr>
      </w:pPr>
    </w:p>
    <w:p w14:paraId="44000000">
      <w:pPr>
        <w:rPr>
          <w:rFonts w:ascii="Times New Roman" w:hAnsi="Times New Roman"/>
          <w:b w:val="1"/>
          <w:sz w:val="28"/>
        </w:rPr>
      </w:pPr>
    </w:p>
    <w:p w14:paraId="45000000">
      <w:pPr>
        <w:rPr>
          <w:rFonts w:ascii="Times New Roman" w:hAnsi="Times New Roman"/>
          <w:b w:val="1"/>
          <w:sz w:val="28"/>
        </w:rPr>
      </w:pPr>
    </w:p>
    <w:p w14:paraId="46000000">
      <w:pPr>
        <w:rPr>
          <w:rFonts w:ascii="Times New Roman" w:hAnsi="Times New Roman"/>
          <w:b w:val="1"/>
          <w:sz w:val="28"/>
        </w:rPr>
      </w:pPr>
    </w:p>
    <w:p w14:paraId="47000000">
      <w:pPr>
        <w:rPr>
          <w:rFonts w:ascii="Times New Roman" w:hAnsi="Times New Roman"/>
          <w:b w:val="1"/>
          <w:sz w:val="28"/>
        </w:rPr>
      </w:pPr>
    </w:p>
    <w:p w14:paraId="48000000">
      <w:pPr>
        <w:rPr>
          <w:rFonts w:ascii="Times New Roman" w:hAnsi="Times New Roman"/>
          <w:b w:val="1"/>
          <w:sz w:val="28"/>
        </w:rPr>
      </w:pPr>
    </w:p>
    <w:p w14:paraId="49000000">
      <w:pPr>
        <w:rPr>
          <w:rFonts w:ascii="Times New Roman" w:hAnsi="Times New Roman"/>
          <w:b w:val="1"/>
          <w:sz w:val="28"/>
        </w:rPr>
      </w:pPr>
    </w:p>
    <w:p w14:paraId="4A000000">
      <w:pPr>
        <w:rPr>
          <w:rFonts w:ascii="Times New Roman" w:hAnsi="Times New Roman"/>
          <w:b w:val="1"/>
          <w:sz w:val="28"/>
        </w:rPr>
      </w:pPr>
    </w:p>
    <w:p w14:paraId="4B000000">
      <w:pPr>
        <w:rPr>
          <w:rFonts w:ascii="Times New Roman" w:hAnsi="Times New Roman"/>
          <w:b w:val="1"/>
          <w:sz w:val="28"/>
        </w:rPr>
      </w:pPr>
    </w:p>
    <w:p w14:paraId="4C000000">
      <w:pPr>
        <w:rPr>
          <w:rFonts w:ascii="Times New Roman" w:hAnsi="Times New Roman"/>
          <w:b w:val="1"/>
          <w:sz w:val="28"/>
        </w:rPr>
      </w:pPr>
    </w:p>
    <w:p w14:paraId="4D000000">
      <w:pPr>
        <w:rPr>
          <w:rFonts w:ascii="Times New Roman" w:hAnsi="Times New Roman"/>
          <w:b w:val="1"/>
          <w:sz w:val="28"/>
        </w:rPr>
      </w:pPr>
    </w:p>
    <w:p w14:paraId="4E000000">
      <w:pPr>
        <w:rPr>
          <w:rFonts w:ascii="Times New Roman" w:hAnsi="Times New Roman"/>
          <w:b w:val="1"/>
          <w:sz w:val="28"/>
        </w:rPr>
      </w:pPr>
    </w:p>
    <w:p w14:paraId="4F000000">
      <w:pPr>
        <w:rPr>
          <w:rFonts w:ascii="Times New Roman" w:hAnsi="Times New Roman"/>
          <w:b w:val="1"/>
          <w:sz w:val="28"/>
        </w:rPr>
      </w:pPr>
    </w:p>
    <w:p w14:paraId="50000000">
      <w:pPr>
        <w:rPr>
          <w:rFonts w:ascii="Times New Roman" w:hAnsi="Times New Roman"/>
          <w:b w:val="1"/>
          <w:sz w:val="28"/>
        </w:rPr>
      </w:pPr>
    </w:p>
    <w:p w14:paraId="51000000">
      <w:pPr>
        <w:rPr>
          <w:rFonts w:ascii="Times New Roman" w:hAnsi="Times New Roman"/>
          <w:b w:val="1"/>
          <w:sz w:val="28"/>
        </w:rPr>
      </w:pPr>
    </w:p>
    <w:p w14:paraId="52000000">
      <w:pPr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                      </w:t>
      </w:r>
    </w:p>
    <w:p w14:paraId="53000000">
      <w:pPr>
        <w:rPr>
          <w:rFonts w:ascii="Times New Roman" w:hAnsi="Times New Roman"/>
          <w:sz w:val="28"/>
        </w:rPr>
      </w:pPr>
    </w:p>
    <w:p w14:paraId="54000000">
      <w:pPr>
        <w:rPr>
          <w:rFonts w:ascii="Times New Roman" w:hAnsi="Times New Roman"/>
          <w:sz w:val="28"/>
        </w:rPr>
      </w:pPr>
    </w:p>
    <w:p w14:paraId="55000000">
      <w:pPr>
        <w:rPr>
          <w:rFonts w:ascii="Times New Roman" w:hAnsi="Times New Roman"/>
          <w:sz w:val="28"/>
        </w:rPr>
      </w:pPr>
    </w:p>
    <w:p w14:paraId="56000000">
      <w:pPr>
        <w:rPr>
          <w:rFonts w:ascii="Times New Roman" w:hAnsi="Times New Roman"/>
          <w:sz w:val="28"/>
        </w:rPr>
      </w:pPr>
    </w:p>
    <w:p w14:paraId="57000000">
      <w:pPr>
        <w:rPr>
          <w:rFonts w:ascii="Times New Roman" w:hAnsi="Times New Roman"/>
          <w:sz w:val="28"/>
        </w:rPr>
      </w:pPr>
    </w:p>
    <w:p w14:paraId="58000000">
      <w:pPr>
        <w:rPr>
          <w:rFonts w:ascii="Times New Roman" w:hAnsi="Times New Roman"/>
          <w:sz w:val="28"/>
        </w:rPr>
      </w:pPr>
    </w:p>
    <w:p w14:paraId="5900000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heading 3"/>
    <w:next w:val="Style_1"/>
    <w:link w:val="Style_6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6_ch" w:type="character">
    <w:name w:val="heading 3"/>
    <w:link w:val="Style_6"/>
    <w:rPr>
      <w:rFonts w:ascii="XO Thames" w:hAnsi="XO Thames"/>
      <w:b w:val="1"/>
      <w:sz w:val="26"/>
    </w:rPr>
  </w:style>
  <w:style w:styleId="Style_7" w:type="paragraph">
    <w:name w:val="toc 3"/>
    <w:next w:val="Style_1"/>
    <w:link w:val="Style_7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7_ch" w:type="character">
    <w:name w:val="toc 3"/>
    <w:link w:val="Style_7"/>
    <w:rPr>
      <w:rFonts w:ascii="XO Thames" w:hAnsi="XO Thames"/>
      <w:sz w:val="28"/>
    </w:rPr>
  </w:style>
  <w:style w:styleId="Style_8" w:type="paragraph">
    <w:name w:val="heading 5"/>
    <w:next w:val="Style_1"/>
    <w:link w:val="Style_8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8_ch" w:type="character">
    <w:name w:val="heading 5"/>
    <w:link w:val="Style_8"/>
    <w:rPr>
      <w:rFonts w:ascii="XO Thames" w:hAnsi="XO Thames"/>
      <w:b w:val="1"/>
      <w:sz w:val="22"/>
    </w:rPr>
  </w:style>
  <w:style w:styleId="Style_9" w:type="paragraph">
    <w:name w:val="msonormalbullet2.gif"/>
    <w:basedOn w:val="Style_1"/>
    <w:link w:val="Style_9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9_ch" w:type="character">
    <w:name w:val="msonormalbullet2.gif"/>
    <w:basedOn w:val="Style_1_ch"/>
    <w:link w:val="Style_9"/>
    <w:rPr>
      <w:rFonts w:ascii="Times New Roman" w:hAnsi="Times New Roman"/>
      <w:sz w:val="24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List Paragraph"/>
    <w:basedOn w:val="Style_1"/>
    <w:link w:val="Style_11_ch"/>
    <w:pPr>
      <w:ind w:firstLine="0" w:left="720"/>
      <w:contextualSpacing w:val="1"/>
    </w:pPr>
  </w:style>
  <w:style w:styleId="Style_11_ch" w:type="character">
    <w:name w:val="List Paragraph"/>
    <w:basedOn w:val="Style_1_ch"/>
    <w:link w:val="Style_11"/>
  </w:style>
  <w:style w:styleId="Style_12" w:type="paragraph">
    <w:name w:val="Hyperlink"/>
    <w:link w:val="Style_12_ch"/>
    <w:rPr>
      <w:color w:val="0000FF"/>
      <w:u w:val="single"/>
    </w:rPr>
  </w:style>
  <w:style w:styleId="Style_12_ch" w:type="character">
    <w:name w:val="Hyperlink"/>
    <w:link w:val="Style_12"/>
    <w:rPr>
      <w:color w:val="0000FF"/>
      <w:u w:val="single"/>
    </w:rPr>
  </w:style>
  <w:style w:styleId="Style_13" w:type="paragraph">
    <w:name w:val="Footnote"/>
    <w:link w:val="Style_13_ch"/>
    <w:pPr>
      <w:ind w:firstLine="851" w:left="0"/>
      <w:jc w:val="both"/>
    </w:pPr>
    <w:rPr>
      <w:rFonts w:ascii="XO Thames" w:hAnsi="XO Thames"/>
      <w:sz w:val="22"/>
    </w:rPr>
  </w:style>
  <w:style w:styleId="Style_13_ch" w:type="character">
    <w:name w:val="Footnote"/>
    <w:link w:val="Style_13"/>
    <w:rPr>
      <w:rFonts w:ascii="XO Thames" w:hAnsi="XO Thames"/>
      <w:sz w:val="22"/>
    </w:rPr>
  </w:style>
  <w:style w:styleId="Style_14" w:type="paragraph">
    <w:name w:val="toc 1"/>
    <w:next w:val="Style_1"/>
    <w:link w:val="Style_14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4_ch" w:type="character">
    <w:name w:val="toc 1"/>
    <w:link w:val="Style_14"/>
    <w:rPr>
      <w:rFonts w:ascii="XO Thames" w:hAnsi="XO Thames"/>
      <w:b w:val="1"/>
      <w:sz w:val="28"/>
    </w:rPr>
  </w:style>
  <w:style w:styleId="Style_15" w:type="paragraph">
    <w:name w:val="Header and Footer"/>
    <w:link w:val="Style_15_ch"/>
    <w:pPr>
      <w:spacing w:line="240" w:lineRule="auto"/>
      <w:ind/>
      <w:jc w:val="both"/>
    </w:pPr>
    <w:rPr>
      <w:rFonts w:ascii="XO Thames" w:hAnsi="XO Thames"/>
      <w:sz w:val="20"/>
    </w:rPr>
  </w:style>
  <w:style w:styleId="Style_15_ch" w:type="character">
    <w:name w:val="Header and Footer"/>
    <w:link w:val="Style_15"/>
    <w:rPr>
      <w:rFonts w:ascii="XO Thames" w:hAnsi="XO Thames"/>
      <w:sz w:val="20"/>
    </w:rPr>
  </w:style>
  <w:style w:styleId="Style_16" w:type="paragraph">
    <w:name w:val="toc 9"/>
    <w:next w:val="Style_1"/>
    <w:link w:val="Style_16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6_ch" w:type="character">
    <w:name w:val="toc 9"/>
    <w:link w:val="Style_16"/>
    <w:rPr>
      <w:rFonts w:ascii="XO Thames" w:hAnsi="XO Thames"/>
      <w:sz w:val="28"/>
    </w:rPr>
  </w:style>
  <w:style w:styleId="Style_17" w:type="paragraph">
    <w:name w:val="Default Paragraph Font"/>
    <w:link w:val="Style_17_ch"/>
  </w:style>
  <w:style w:styleId="Style_17_ch" w:type="character">
    <w:name w:val="Default Paragraph Font"/>
    <w:link w:val="Style_17"/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Subtitle"/>
    <w:next w:val="Style_1"/>
    <w:link w:val="Style_2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Title"/>
    <w:next w:val="Style_1"/>
    <w:link w:val="Style_2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1_ch" w:type="character">
    <w:name w:val="Title"/>
    <w:link w:val="Style_21"/>
    <w:rPr>
      <w:rFonts w:ascii="XO Thames" w:hAnsi="XO Thames"/>
      <w:b w:val="1"/>
      <w:caps w:val="1"/>
      <w:sz w:val="40"/>
    </w:rPr>
  </w:style>
  <w:style w:styleId="Style_22" w:type="paragraph">
    <w:name w:val="heading 4"/>
    <w:next w:val="Style_1"/>
    <w:link w:val="Style_2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2_ch" w:type="character">
    <w:name w:val="heading 4"/>
    <w:link w:val="Style_22"/>
    <w:rPr>
      <w:rFonts w:ascii="XO Thames" w:hAnsi="XO Thames"/>
      <w:b w:val="1"/>
      <w:sz w:val="24"/>
    </w:rPr>
  </w:style>
  <w:style w:styleId="Style_23" w:type="paragraph">
    <w:name w:val="heading 2"/>
    <w:next w:val="Style_1"/>
    <w:link w:val="Style_23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3_ch" w:type="character">
    <w:name w:val="heading 2"/>
    <w:link w:val="Style_23"/>
    <w:rPr>
      <w:rFonts w:ascii="XO Thames" w:hAnsi="XO Thames"/>
      <w:b w:val="1"/>
      <w:sz w:val="28"/>
    </w:rPr>
  </w:style>
  <w:style w:default="1" w:styleId="Style_2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2026-03-09T23:18:32Z</dcterms:modified>
</cp:coreProperties>
</file>